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2">
            <w:pPr>
              <w:pStyle w:val="Heading1"/>
              <w:keepNext w:val="0"/>
              <w:keepLines w:val="0"/>
              <w:widowControl w:val="0"/>
              <w:spacing w:before="0" w:line="240" w:lineRule="auto"/>
              <w:jc w:val="center"/>
              <w:rPr>
                <w:rFonts w:ascii="Lora" w:cs="Lora" w:eastAsia="Lora" w:hAnsi="Lora"/>
                <w:b w:val="1"/>
                <w:sz w:val="26"/>
                <w:szCs w:val="26"/>
              </w:rPr>
            </w:pPr>
            <w:bookmarkStart w:colFirst="0" w:colLast="0" w:name="_nidyl12jh1q7" w:id="0"/>
            <w:bookmarkEnd w:id="0"/>
            <w:r w:rsidDel="00000000" w:rsidR="00000000" w:rsidRPr="00000000">
              <w:rPr>
                <w:rFonts w:ascii="Lora" w:cs="Lora" w:eastAsia="Lora" w:hAnsi="Lora"/>
                <w:b w:val="1"/>
                <w:sz w:val="26"/>
                <w:szCs w:val="26"/>
                <w:rtl w:val="0"/>
              </w:rPr>
              <w:t xml:space="preserve">Aksi konservasi yang menyelamatkan spesies</w:t>
            </w:r>
          </w:p>
          <w:p w:rsidR="00000000" w:rsidDel="00000000" w:rsidP="00000000" w:rsidRDefault="00000000" w:rsidRPr="00000000" w14:paraId="00000003">
            <w:pPr>
              <w:widowControl w:val="0"/>
              <w:spacing w:after="240" w:before="240"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Penelitian menunjukkan bahwa spesies yang berada di ambang kepunahan berhasil diselamatkan. Menerapkan pendekatan yang sama secara lebih luas dapat membantu planet ini.</w:t>
            </w:r>
          </w:p>
          <w:p w:rsidR="00000000" w:rsidDel="00000000" w:rsidP="00000000" w:rsidRDefault="00000000" w:rsidRPr="00000000" w14:paraId="00000005">
            <w:pPr>
              <w:widowControl w:val="0"/>
              <w:spacing w:after="240" w:before="240" w:line="240" w:lineRule="auto"/>
              <w:rPr>
                <w:rFonts w:ascii="Lora" w:cs="Lora" w:eastAsia="Lora" w:hAnsi="Lora"/>
              </w:rPr>
            </w:pPr>
            <w:bookmarkStart w:colFirst="0" w:colLast="0" w:name="_eww3ahxcqh6d" w:id="1"/>
            <w:bookmarkEnd w:id="1"/>
            <w:r w:rsidDel="00000000" w:rsidR="00000000" w:rsidRPr="00000000">
              <w:rPr>
                <w:rtl w:val="0"/>
              </w:rPr>
            </w:r>
          </w:p>
          <w:p w:rsidR="00000000" w:rsidDel="00000000" w:rsidP="00000000" w:rsidRDefault="00000000" w:rsidRPr="00000000" w14:paraId="00000006">
            <w:pPr>
              <w:widowControl w:val="0"/>
              <w:spacing w:after="240" w:before="240" w:line="240" w:lineRule="auto"/>
              <w:rPr>
                <w:rFonts w:ascii="Lora" w:cs="Lora" w:eastAsia="Lora" w:hAnsi="Lora"/>
                <w:b w:val="1"/>
              </w:rPr>
            </w:pPr>
            <w:r w:rsidDel="00000000" w:rsidR="00000000" w:rsidRPr="00000000">
              <w:rPr>
                <w:rFonts w:ascii="Lora" w:cs="Lora" w:eastAsia="Lora" w:hAnsi="Lora"/>
                <w:b w:val="1"/>
                <w:rtl w:val="0"/>
              </w:rPr>
              <w:t xml:space="preserve">Oleh: </w:t>
            </w:r>
            <w:r w:rsidDel="00000000" w:rsidR="00000000" w:rsidRPr="00000000">
              <w:rPr>
                <w:rFonts w:ascii="Lora" w:cs="Lora" w:eastAsia="Lora" w:hAnsi="Lora"/>
                <w:rtl w:val="0"/>
              </w:rPr>
              <w:t xml:space="preserve">Philip McGowan - </w:t>
            </w:r>
            <w:r w:rsidDel="00000000" w:rsidR="00000000" w:rsidRPr="00000000">
              <w:rPr>
                <w:rFonts w:ascii="Lora" w:cs="Lora" w:eastAsia="Lora" w:hAnsi="Lora"/>
                <w:i w:val="1"/>
                <w:rtl w:val="0"/>
              </w:rPr>
              <w:t xml:space="preserve">Universitas Newcastle, Inggris</w:t>
            </w:r>
            <w:r w:rsidDel="00000000" w:rsidR="00000000" w:rsidRPr="00000000">
              <w:rPr>
                <w:rtl w:val="0"/>
              </w:rPr>
            </w:r>
          </w:p>
          <w:p w:rsidR="00000000" w:rsidDel="00000000" w:rsidP="00000000" w:rsidRDefault="00000000" w:rsidRPr="00000000" w14:paraId="00000007">
            <w:pPr>
              <w:widowControl w:val="0"/>
              <w:spacing w:line="240" w:lineRule="auto"/>
              <w:rPr>
                <w:rFonts w:ascii="Lora" w:cs="Lora" w:eastAsia="Lora" w:hAnsi="Lora"/>
                <w:i w:val="1"/>
              </w:rPr>
            </w:pPr>
            <w:hyperlink r:id="rId6">
              <w:r w:rsidDel="00000000" w:rsidR="00000000" w:rsidRPr="00000000">
                <w:rPr>
                  <w:rFonts w:ascii="Lora" w:cs="Lora" w:eastAsia="Lora" w:hAnsi="Lora"/>
                  <w:color w:val="1155cc"/>
                  <w:u w:val="single"/>
                </w:rPr>
                <w:drawing>
                  <wp:inline distB="114300" distT="114300" distL="114300" distR="114300">
                    <wp:extent cx="2838450" cy="2133600"/>
                    <wp:effectExtent b="0" l="0" r="0" t="0"/>
                    <wp:docPr descr="The Guam rail was successfully reintroduced to Guam from captive breeding programs. : Greg Hume CC 3.0" id="1" name="image1.jpg"/>
                    <a:graphic>
                      <a:graphicData uri="http://schemas.openxmlformats.org/drawingml/2006/picture">
                        <pic:pic>
                          <pic:nvPicPr>
                            <pic:cNvPr descr="The Guam rail was successfully reintroduced to Guam from captive breeding programs. : Greg Hume CC 3.0" id="0" name="image1.jpg"/>
                            <pic:cNvPicPr preferRelativeResize="0"/>
                          </pic:nvPicPr>
                          <pic:blipFill>
                            <a:blip r:embed="rId7"/>
                            <a:srcRect b="0" l="0" r="0" t="0"/>
                            <a:stretch>
                              <a:fillRect/>
                            </a:stretch>
                          </pic:blipFill>
                          <pic:spPr>
                            <a:xfrm>
                              <a:off x="0" y="0"/>
                              <a:ext cx="2838450" cy="21336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widowControl w:val="0"/>
              <w:spacing w:line="240" w:lineRule="auto"/>
              <w:rPr>
                <w:rFonts w:ascii="Lora" w:cs="Lora" w:eastAsia="Lora" w:hAnsi="Lora"/>
                <w:i w:val="1"/>
              </w:rPr>
            </w:pPr>
            <w:r w:rsidDel="00000000" w:rsidR="00000000" w:rsidRPr="00000000">
              <w:rPr>
                <w:rFonts w:ascii="Lora" w:cs="Lora" w:eastAsia="Lora" w:hAnsi="Lora"/>
                <w:rtl w:val="0"/>
              </w:rPr>
              <w:t xml:space="preserve">Burung Guam rail berhasil dilepasliarkan ke Guam dari program penangkaran</w:t>
            </w:r>
            <w:r w:rsidDel="00000000" w:rsidR="00000000" w:rsidRPr="00000000">
              <w:rPr>
                <w:rFonts w:ascii="Lora" w:cs="Lora" w:eastAsia="Lora" w:hAnsi="Lora"/>
                <w:i w:val="1"/>
                <w:rtl w:val="0"/>
              </w:rPr>
              <w:t xml:space="preserve">.</w:t>
            </w:r>
          </w:p>
          <w:p w:rsidR="00000000" w:rsidDel="00000000" w:rsidP="00000000" w:rsidRDefault="00000000" w:rsidRPr="00000000" w14:paraId="00000009">
            <w:pPr>
              <w:widowControl w:val="0"/>
              <w:spacing w:after="240" w:before="240" w:line="240" w:lineRule="auto"/>
              <w:rPr>
                <w:rFonts w:ascii="Lora" w:cs="Lora" w:eastAsia="Lora" w:hAnsi="Lora"/>
              </w:rPr>
            </w:pPr>
            <w:r w:rsidDel="00000000" w:rsidR="00000000" w:rsidRPr="00000000">
              <w:rPr>
                <w:rtl w:val="0"/>
              </w:rPr>
            </w:r>
          </w:p>
          <w:p w:rsidR="00000000" w:rsidDel="00000000" w:rsidP="00000000" w:rsidRDefault="00000000" w:rsidRPr="00000000" w14:paraId="0000000A">
            <w:pPr>
              <w:widowControl w:val="0"/>
              <w:spacing w:after="240" w:before="240" w:line="240" w:lineRule="auto"/>
              <w:rPr>
                <w:rFonts w:ascii="Lora" w:cs="Lora" w:eastAsia="Lora" w:hAnsi="Lora"/>
              </w:rPr>
            </w:pPr>
            <w:r w:rsidDel="00000000" w:rsidR="00000000" w:rsidRPr="00000000">
              <w:rPr>
                <w:rFonts w:ascii="Lora" w:cs="Lora" w:eastAsia="Lora" w:hAnsi="Lora"/>
                <w:b w:val="1"/>
                <w:rtl w:val="0"/>
              </w:rPr>
              <w:t xml:space="preserve">Penyunting </w:t>
            </w:r>
            <w:r w:rsidDel="00000000" w:rsidR="00000000" w:rsidRPr="00000000">
              <w:rPr>
                <w:rFonts w:ascii="Lora" w:cs="Lora" w:eastAsia="Lora" w:hAnsi="Lora"/>
                <w:rtl w:val="0"/>
              </w:rPr>
              <w:t xml:space="preserve">Sara Phillips Editor Senior Komisioning, 360info Asia-Pasifik</w:t>
            </w:r>
          </w:p>
          <w:p w:rsidR="00000000" w:rsidDel="00000000" w:rsidP="00000000" w:rsidRDefault="00000000" w:rsidRPr="00000000" w14:paraId="0000000B">
            <w:pPr>
              <w:widowControl w:val="0"/>
              <w:spacing w:after="240" w:before="240" w:line="240" w:lineRule="auto"/>
              <w:rPr>
                <w:rFonts w:ascii="Lora" w:cs="Lora" w:eastAsia="Lora" w:hAnsi="Lora"/>
              </w:rPr>
            </w:pPr>
            <w:r w:rsidDel="00000000" w:rsidR="00000000" w:rsidRPr="00000000">
              <w:rPr>
                <w:rFonts w:ascii="Lora" w:cs="Lora" w:eastAsia="Lora" w:hAnsi="Lora"/>
                <w:b w:val="1"/>
                <w:rtl w:val="0"/>
              </w:rPr>
              <w:t xml:space="preserve">DOI </w:t>
            </w:r>
            <w:r w:rsidDel="00000000" w:rsidR="00000000" w:rsidRPr="00000000">
              <w:rPr>
                <w:rFonts w:ascii="Lora" w:cs="Lora" w:eastAsia="Lora" w:hAnsi="Lora"/>
                <w:rtl w:val="0"/>
              </w:rPr>
              <w:t xml:space="preserve">10.54377/63ed-e4e6</w:t>
            </w:r>
          </w:p>
          <w:p w:rsidR="00000000" w:rsidDel="00000000" w:rsidP="00000000" w:rsidRDefault="00000000" w:rsidRPr="00000000" w14:paraId="0000000C">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Berikut ini adalah target spektakuler dilewatkan oleh dunia: “Pada tahun 2020, kepunahan spesies yang diketahui terancam telah dicegah dan status konservasinya, terutama yang paling menurun, telah ditingkatkan dan dipertahankan.” Ini adalah Target Aichi, yang ditetapkan pada tahun 2010, yang berasal dari Konvensi Keanekaragaman Hayati Perserikatan Bangsa-Bangsa. Pada tahun 2020,</w:t>
            </w:r>
            <w:hyperlink r:id="rId8">
              <w:r w:rsidDel="00000000" w:rsidR="00000000" w:rsidRPr="00000000">
                <w:rPr>
                  <w:rFonts w:ascii="Lora" w:cs="Lora" w:eastAsia="Lora" w:hAnsi="Lora"/>
                  <w:rtl w:val="0"/>
                </w:rPr>
                <w:t xml:space="preserve"> </w:t>
              </w:r>
            </w:hyperlink>
            <w:hyperlink r:id="rId9">
              <w:r w:rsidDel="00000000" w:rsidR="00000000" w:rsidRPr="00000000">
                <w:rPr>
                  <w:rFonts w:ascii="Lora" w:cs="Lora" w:eastAsia="Lora" w:hAnsi="Lora"/>
                  <w:color w:val="1155cc"/>
                  <w:u w:val="single"/>
                  <w:rtl w:val="0"/>
                </w:rPr>
                <w:t xml:space="preserve">sebagian besar indikator</w:t>
              </w:r>
            </w:hyperlink>
            <w:r w:rsidDel="00000000" w:rsidR="00000000" w:rsidRPr="00000000">
              <w:rPr>
                <w:rFonts w:ascii="Lora" w:cs="Lora" w:eastAsia="Lora" w:hAnsi="Lora"/>
                <w:rtl w:val="0"/>
              </w:rPr>
              <w:t xml:space="preserve"> dari 20 Target Aichi</w:t>
            </w:r>
            <w:hyperlink r:id="rId10">
              <w:r w:rsidDel="00000000" w:rsidR="00000000" w:rsidRPr="00000000">
                <w:rPr>
                  <w:rFonts w:ascii="Lora" w:cs="Lora" w:eastAsia="Lora" w:hAnsi="Lora"/>
                  <w:rtl w:val="0"/>
                </w:rPr>
                <w:t xml:space="preserve"> </w:t>
              </w:r>
            </w:hyperlink>
            <w:hyperlink r:id="rId11">
              <w:r w:rsidDel="00000000" w:rsidR="00000000" w:rsidRPr="00000000">
                <w:rPr>
                  <w:rFonts w:ascii="Lora" w:cs="Lora" w:eastAsia="Lora" w:hAnsi="Lora"/>
                  <w:color w:val="1155cc"/>
                  <w:u w:val="single"/>
                  <w:rtl w:val="0"/>
                </w:rPr>
                <w:t xml:space="preserve">terus mengalami penurunan</w:t>
              </w:r>
            </w:hyperlink>
            <w:r w:rsidDel="00000000" w:rsidR="00000000" w:rsidRPr="00000000">
              <w:rPr>
                <w:rFonts w:ascii="Lora" w:cs="Lora" w:eastAsia="Lora" w:hAnsi="Lora"/>
                <w:rtl w:val="0"/>
              </w:rPr>
              <w:t xml:space="preserve">.</w:t>
            </w:r>
          </w:p>
          <w:p w:rsidR="00000000" w:rsidDel="00000000" w:rsidP="00000000" w:rsidRDefault="00000000" w:rsidRPr="00000000" w14:paraId="0000000D">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Namun,</w:t>
            </w:r>
            <w:hyperlink r:id="rId12">
              <w:r w:rsidDel="00000000" w:rsidR="00000000" w:rsidRPr="00000000">
                <w:rPr>
                  <w:rFonts w:ascii="Lora" w:cs="Lora" w:eastAsia="Lora" w:hAnsi="Lora"/>
                  <w:rtl w:val="0"/>
                </w:rPr>
                <w:t xml:space="preserve"> </w:t>
              </w:r>
            </w:hyperlink>
            <w:hyperlink r:id="rId13">
              <w:r w:rsidDel="00000000" w:rsidR="00000000" w:rsidRPr="00000000">
                <w:rPr>
                  <w:rFonts w:ascii="Lora" w:cs="Lora" w:eastAsia="Lora" w:hAnsi="Lora"/>
                  <w:color w:val="1155cc"/>
                  <w:u w:val="single"/>
                  <w:rtl w:val="0"/>
                </w:rPr>
                <w:t xml:space="preserve">penelitian</w:t>
              </w:r>
            </w:hyperlink>
            <w:r w:rsidDel="00000000" w:rsidR="00000000" w:rsidRPr="00000000">
              <w:rPr>
                <w:rFonts w:ascii="Lora" w:cs="Lora" w:eastAsia="Lora" w:hAnsi="Lora"/>
                <w:rtl w:val="0"/>
              </w:rPr>
              <w:t xml:space="preserve"> pada tahun 2020 menunjukkan bahwa target tersebut sebenarnya “sangat layak untuk dicapai”. Upaya konservasi antara tahun 1993-2020 telah mencegah kepunahan 28-48 spesies burung dan mamalia. Jika pendekatan yang sama diterapkan pada makhluk lain, maka akan lebih banyak lagi yang bisa diselamatkan dari kepunahan.</w:t>
            </w:r>
          </w:p>
          <w:p w:rsidR="00000000" w:rsidDel="00000000" w:rsidP="00000000" w:rsidRDefault="00000000" w:rsidRPr="00000000" w14:paraId="0000000E">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Ini adalah informasi yang menjadi pertanda baik bagi masa depan spesies lain yang terancam punah.</w:t>
            </w:r>
          </w:p>
          <w:p w:rsidR="00000000" w:rsidDel="00000000" w:rsidP="00000000" w:rsidRDefault="00000000" w:rsidRPr="00000000" w14:paraId="0000000F">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Para peneliti di seluruh dunia berkolaborasi dalam penelitian ini, yang diterbitkan dalam jurnal </w:t>
            </w:r>
            <w:r w:rsidDel="00000000" w:rsidR="00000000" w:rsidRPr="00000000">
              <w:rPr>
                <w:rFonts w:ascii="Lora" w:cs="Lora" w:eastAsia="Lora" w:hAnsi="Lora"/>
                <w:i w:val="1"/>
                <w:rtl w:val="0"/>
              </w:rPr>
              <w:t xml:space="preserve">Conservation Letters</w:t>
            </w:r>
            <w:r w:rsidDel="00000000" w:rsidR="00000000" w:rsidRPr="00000000">
              <w:rPr>
                <w:rFonts w:ascii="Lora" w:cs="Lora" w:eastAsia="Lora" w:hAnsi="Lora"/>
                <w:rtl w:val="0"/>
              </w:rPr>
              <w:t xml:space="preserve">, dan ditampilkan dalam Konvensi 2020. Untuk dapat dimasukkan dalam penelitian ini, spesies harus terdaftar dalam</w:t>
            </w:r>
            <w:hyperlink r:id="rId14">
              <w:r w:rsidDel="00000000" w:rsidR="00000000" w:rsidRPr="00000000">
                <w:rPr>
                  <w:rFonts w:ascii="Lora" w:cs="Lora" w:eastAsia="Lora" w:hAnsi="Lora"/>
                  <w:rtl w:val="0"/>
                </w:rPr>
                <w:t xml:space="preserve"> </w:t>
              </w:r>
            </w:hyperlink>
            <w:hyperlink r:id="rId15">
              <w:r w:rsidDel="00000000" w:rsidR="00000000" w:rsidRPr="00000000">
                <w:rPr>
                  <w:rFonts w:ascii="Lora" w:cs="Lora" w:eastAsia="Lora" w:hAnsi="Lora"/>
                  <w:color w:val="1155cc"/>
                  <w:u w:val="single"/>
                  <w:rtl w:val="0"/>
                </w:rPr>
                <w:t xml:space="preserve">'Daftar Merah</w:t>
              </w:r>
            </w:hyperlink>
            <w:r w:rsidDel="00000000" w:rsidR="00000000" w:rsidRPr="00000000">
              <w:rPr>
                <w:rFonts w:ascii="Lora" w:cs="Lora" w:eastAsia="Lora" w:hAnsi="Lora"/>
                <w:rtl w:val="0"/>
              </w:rPr>
              <w:t xml:space="preserve"> ' spesies terancam punah oleh International Union for Conservation of Nature (IUCN) sejak tahun 1993.</w:t>
            </w:r>
          </w:p>
          <w:p w:rsidR="00000000" w:rsidDel="00000000" w:rsidP="00000000" w:rsidRDefault="00000000" w:rsidRPr="00000000" w14:paraId="00000010">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Para peneliti hanya mengamati burung dan mamalia yang terdaftar dalam kategori punah di alam liar, sangat terancam punah, atau terancam punah pada suatu waktu sejak tahun 1993. Mereka juga harus memiliki ancaman yang sedang berlangsung pada saat itu, dan telah mendapat manfaat dari tindakan konservasi.</w:t>
            </w:r>
          </w:p>
          <w:p w:rsidR="00000000" w:rsidDel="00000000" w:rsidP="00000000" w:rsidRDefault="00000000" w:rsidRPr="00000000" w14:paraId="00000011">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Katak, kadal, ikan, tanaman, dan kehidupan lainnya masih sangat penting bagi ekosistem di seluruh dunia, namun para peneliti berfokus pada burung dan mamalia karena mereka memiliki data Daftar Merah yang paling komprehensif yang tersedia untuk membuat penilaian yang realistis dan sebanding. Kriteria ini membuat mereka memiliki daftar yang lebih pendek terdiri dari 39 burung dan 21 mamalia.</w:t>
            </w:r>
          </w:p>
          <w:p w:rsidR="00000000" w:rsidDel="00000000" w:rsidP="00000000" w:rsidRDefault="00000000" w:rsidRPr="00000000" w14:paraId="00000012">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Setidaknya 28-48 kepunahan burung dan mamalia berhasil dicegah antara tahun 1993-2020. Pada saat yang sama, 15 kepunahan burung dan mamalia yang dikonfirmasi atau diduga kuat telah didokumentasikan, termasuk satu kepunahan sejak tahun 2010, yaitu seekor burung cantik berwarna cokelat yang disebut Alagoas foliage-gleaner (</w:t>
            </w:r>
            <w:r w:rsidDel="00000000" w:rsidR="00000000" w:rsidRPr="00000000">
              <w:rPr>
                <w:rFonts w:ascii="Lora" w:cs="Lora" w:eastAsia="Lora" w:hAnsi="Lora"/>
                <w:i w:val="1"/>
                <w:rtl w:val="0"/>
              </w:rPr>
              <w:t xml:space="preserve">Philydor novaesi</w:t>
            </w:r>
            <w:r w:rsidDel="00000000" w:rsidR="00000000" w:rsidRPr="00000000">
              <w:rPr>
                <w:rFonts w:ascii="Lora" w:cs="Lora" w:eastAsia="Lora" w:hAnsi="Lora"/>
                <w:rtl w:val="0"/>
              </w:rPr>
              <w:t xml:space="preserve">), yang hidup di hutan-hutan Brasil.</w:t>
            </w:r>
          </w:p>
          <w:p w:rsidR="00000000" w:rsidDel="00000000" w:rsidP="00000000" w:rsidRDefault="00000000" w:rsidRPr="00000000" w14:paraId="00000013">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Ini berarti jumlah kepunahan akan mencapai 4,2 kali lebih tinggi untuk periode 1993-2020, jika upaya konservasi tidak dilakukan.</w:t>
            </w:r>
          </w:p>
          <w:p w:rsidR="00000000" w:rsidDel="00000000" w:rsidP="00000000" w:rsidRDefault="00000000" w:rsidRPr="00000000" w14:paraId="00000014">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Untuk beberapa spesies, seperti gagak Hawaii atau ʻalalā (</w:t>
            </w:r>
            <w:r w:rsidDel="00000000" w:rsidR="00000000" w:rsidRPr="00000000">
              <w:rPr>
                <w:rFonts w:ascii="Lora" w:cs="Lora" w:eastAsia="Lora" w:hAnsi="Lora"/>
                <w:i w:val="1"/>
                <w:rtl w:val="0"/>
              </w:rPr>
              <w:t xml:space="preserve">Corvus hawaiiensis</w:t>
            </w:r>
            <w:r w:rsidDel="00000000" w:rsidR="00000000" w:rsidRPr="00000000">
              <w:rPr>
                <w:rFonts w:ascii="Lora" w:cs="Lora" w:eastAsia="Lora" w:hAnsi="Lora"/>
                <w:rtl w:val="0"/>
              </w:rPr>
              <w:t xml:space="preserve">), terlihat jelas bagaimana manusia telah melakukan intervensi: makhluk-makhluk ini 'punah di alam liar' yang berarti satu-satunya contoh yang tersisa ada di kebun binatang dan program penangkaran konservasi. Program penangkaran telah membantu 63 persen spesies secara keseluruhan.</w:t>
            </w:r>
          </w:p>
          <w:p w:rsidR="00000000" w:rsidDel="00000000" w:rsidP="00000000" w:rsidRDefault="00000000" w:rsidRPr="00000000" w14:paraId="00000015">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Bagi banyak makhluk hidup lain , populasi mereka yang tersisa ada di pulau-pulau, di mana mereka dapat hidup jauh dari predator invasif, seperti kucing dan tikus. Mengendalikan spesies invasif membantu 66 persen spesies. Strategi unggul lainnya adalah melindungi habitat yang tersisa dari spesies yang terancam, mengingat ekspansi manusia melalui perburuan dan pertanian adalah dua ancaman terbesar. Memperkenalkan undang-undang untuk melindungi hewan dari perburuan atau koleksi sangat membantu mamalia dalam penelitian ini.</w:t>
            </w:r>
          </w:p>
          <w:p w:rsidR="00000000" w:rsidDel="00000000" w:rsidP="00000000" w:rsidRDefault="00000000" w:rsidRPr="00000000" w14:paraId="00000016">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Dua spesies yang sebelumnya punah di alam liar berhasil diperkenalkan kembali ke tempat asalnya sejak tahun 1993: Kuda Przewalski (</w:t>
            </w:r>
            <w:r w:rsidDel="00000000" w:rsidR="00000000" w:rsidRPr="00000000">
              <w:rPr>
                <w:rFonts w:ascii="Lora" w:cs="Lora" w:eastAsia="Lora" w:hAnsi="Lora"/>
                <w:i w:val="1"/>
                <w:rtl w:val="0"/>
              </w:rPr>
              <w:t xml:space="preserve">Equus ferus</w:t>
            </w:r>
            <w:r w:rsidDel="00000000" w:rsidR="00000000" w:rsidRPr="00000000">
              <w:rPr>
                <w:rFonts w:ascii="Lora" w:cs="Lora" w:eastAsia="Lora" w:hAnsi="Lora"/>
                <w:rtl w:val="0"/>
              </w:rPr>
              <w:t xml:space="preserve">) dan burung Guam rail (</w:t>
            </w:r>
            <w:r w:rsidDel="00000000" w:rsidR="00000000" w:rsidRPr="00000000">
              <w:rPr>
                <w:rFonts w:ascii="Lora" w:cs="Lora" w:eastAsia="Lora" w:hAnsi="Lora"/>
                <w:i w:val="1"/>
                <w:rtl w:val="0"/>
              </w:rPr>
              <w:t xml:space="preserve">Hypotaenidia owstoni</w:t>
            </w:r>
            <w:r w:rsidDel="00000000" w:rsidR="00000000" w:rsidRPr="00000000">
              <w:rPr>
                <w:rFonts w:ascii="Lora" w:cs="Lora" w:eastAsia="Lora" w:hAnsi="Lora"/>
                <w:rtl w:val="0"/>
              </w:rPr>
              <w:t xml:space="preserve">).</w:t>
            </w:r>
          </w:p>
          <w:p w:rsidR="00000000" w:rsidDel="00000000" w:rsidP="00000000" w:rsidRDefault="00000000" w:rsidRPr="00000000" w14:paraId="00000017">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Tidak semua spesies dalam penelitian ini berhasil dikonservasi dengan sempurna. Sebagai contoh, untuk </w:t>
            </w:r>
            <w:r w:rsidDel="00000000" w:rsidR="00000000" w:rsidRPr="00000000">
              <w:rPr>
                <w:rFonts w:ascii="Lora" w:cs="Lora" w:eastAsia="Lora" w:hAnsi="Lora"/>
                <w:i w:val="1"/>
                <w:rtl w:val="0"/>
              </w:rPr>
              <w:t xml:space="preserve">vaquita </w:t>
            </w:r>
            <w:r w:rsidDel="00000000" w:rsidR="00000000" w:rsidRPr="00000000">
              <w:rPr>
                <w:rFonts w:ascii="Lora" w:cs="Lora" w:eastAsia="Lora" w:hAnsi="Lora"/>
                <w:rtl w:val="0"/>
              </w:rPr>
              <w:t xml:space="preserve">(</w:t>
            </w:r>
            <w:r w:rsidDel="00000000" w:rsidR="00000000" w:rsidRPr="00000000">
              <w:rPr>
                <w:rFonts w:ascii="Lora" w:cs="Lora" w:eastAsia="Lora" w:hAnsi="Lora"/>
                <w:i w:val="1"/>
                <w:rtl w:val="0"/>
              </w:rPr>
              <w:t xml:space="preserve">Phocoena sinus</w:t>
            </w:r>
            <w:r w:rsidDel="00000000" w:rsidR="00000000" w:rsidRPr="00000000">
              <w:rPr>
                <w:rFonts w:ascii="Lora" w:cs="Lora" w:eastAsia="Lora" w:hAnsi="Lora"/>
                <w:rtl w:val="0"/>
              </w:rPr>
              <w:t xml:space="preserve">), lumba-lumba Meksiko, hanya</w:t>
            </w:r>
            <w:hyperlink r:id="rId16">
              <w:r w:rsidDel="00000000" w:rsidR="00000000" w:rsidRPr="00000000">
                <w:rPr>
                  <w:rFonts w:ascii="Lora" w:cs="Lora" w:eastAsia="Lora" w:hAnsi="Lora"/>
                  <w:rtl w:val="0"/>
                </w:rPr>
                <w:t xml:space="preserve"> </w:t>
              </w:r>
            </w:hyperlink>
            <w:hyperlink r:id="rId17">
              <w:r w:rsidDel="00000000" w:rsidR="00000000" w:rsidRPr="00000000">
                <w:rPr>
                  <w:rFonts w:ascii="Lora" w:cs="Lora" w:eastAsia="Lora" w:hAnsi="Lora"/>
                  <w:color w:val="1155cc"/>
                  <w:u w:val="single"/>
                  <w:rtl w:val="0"/>
                </w:rPr>
                <w:t xml:space="preserve">enam individu</w:t>
              </w:r>
            </w:hyperlink>
            <w:r w:rsidDel="00000000" w:rsidR="00000000" w:rsidRPr="00000000">
              <w:rPr>
                <w:rFonts w:ascii="Lora" w:cs="Lora" w:eastAsia="Lora" w:hAnsi="Lora"/>
                <w:rtl w:val="0"/>
              </w:rPr>
              <w:t xml:space="preserve"> yang diketahui masih ada pada bulan September 2018. Larangan penangkapan ikan dengan jaring insang yang mahal mungkin telah memperlambat penurunan drastis, namun dengan penggunaan ilegalnya yang masih marak, tampaknya hal ini tidak dapat dihentikan. Konservasi mungkin telah menghindari kepunahan sejauh ini, namun masih ada kemungkinan yang signifikan, bahkan mungkin terjadi.</w:t>
            </w:r>
          </w:p>
          <w:p w:rsidR="00000000" w:rsidDel="00000000" w:rsidP="00000000" w:rsidRDefault="00000000" w:rsidRPr="00000000" w14:paraId="00000018">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Aksi konservasi dilaksanakan dengan  menggabungkan kerja pemerintah, lembaga swadaya masyarakat, kebun binatang, ilmuwan, sukarelawan, dan lainnya. Meskipun ada kabar baik, banyak spesies dalam penelitian ini masih sangat terancam. Sebagian besar membutuhkan perawatan yang berkelanjutan dan investasi yang besar untuk memastikan kelangsungan hidup mereka. Ancaman terhadap spesies ini dan spesies lainnya masih ada dan terus bertambah. Upaya yang lebih besar lagi akan diperlukan untuk mencegah kepunahan dan meningkatkan status 6.811 spesies yang saat ini dinilai terancam punah dalam Daftar Merah.</w:t>
            </w:r>
          </w:p>
          <w:p w:rsidR="00000000" w:rsidDel="00000000" w:rsidP="00000000" w:rsidRDefault="00000000" w:rsidRPr="00000000" w14:paraId="00000019">
            <w:pPr>
              <w:widowControl w:val="0"/>
              <w:spacing w:after="240" w:before="240" w:line="240" w:lineRule="auto"/>
              <w:rPr>
                <w:rFonts w:ascii="Lora" w:cs="Lora" w:eastAsia="Lora" w:hAnsi="Lora"/>
              </w:rPr>
            </w:pPr>
            <w:r w:rsidDel="00000000" w:rsidR="00000000" w:rsidRPr="00000000">
              <w:rPr>
                <w:rFonts w:ascii="Lora" w:cs="Lora" w:eastAsia="Lora" w:hAnsi="Lora"/>
                <w:rtl w:val="0"/>
              </w:rPr>
              <w:t xml:space="preserve">Tindakan dini untuk mencegah penurunan dan keterancaman kritis akan menjadi pendekatan yang lebih hemat biaya untuk mencegah hilangnya spesies dibandingkan dengan program penangkaran dan pelepasliaran. Strategi untuk menyelamatkan spesies sudah ada dan, seperti yang ditunjukkan oleh penelitian ini, hasilnya cukup efektif. Yang masih kurang adalah dukungan dan adopsi yang luas terhadap pendekatan-pendekatan ini dan pendekatan-pendekatan baru. Kepunahan bukanlah hal yang tidak bisa dihindari.VDJ</w:t>
            </w:r>
          </w:p>
          <w:p w:rsidR="00000000" w:rsidDel="00000000" w:rsidP="00000000" w:rsidRDefault="00000000" w:rsidRPr="00000000" w14:paraId="0000001A">
            <w:pPr>
              <w:widowControl w:val="0"/>
              <w:spacing w:after="240" w:before="240" w:line="240" w:lineRule="auto"/>
              <w:rPr>
                <w:rFonts w:ascii="Lora" w:cs="Lora" w:eastAsia="Lora" w:hAnsi="Lora"/>
                <w:i w:val="1"/>
              </w:rPr>
            </w:pPr>
            <w:r w:rsidDel="00000000" w:rsidR="00000000" w:rsidRPr="00000000">
              <w:rPr>
                <w:rFonts w:ascii="Lora" w:cs="Lora" w:eastAsia="Lora" w:hAnsi="Lora"/>
                <w:b w:val="1"/>
                <w:i w:val="1"/>
                <w:rtl w:val="0"/>
              </w:rPr>
              <w:t xml:space="preserve">Philip McGowan</w:t>
            </w:r>
            <w:r w:rsidDel="00000000" w:rsidR="00000000" w:rsidRPr="00000000">
              <w:rPr>
                <w:rFonts w:ascii="Lora" w:cs="Lora" w:eastAsia="Lora" w:hAnsi="Lora"/>
                <w:i w:val="1"/>
                <w:rtl w:val="0"/>
              </w:rPr>
              <w:t xml:space="preserve"> adalah seorang profesor ilmu konservasi dan kebijakan di Universitas Newcastle, Inggris</w:t>
            </w:r>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Penulis tidak memiliki konflik kepentingan.</w:t>
            </w:r>
          </w:p>
          <w:p w:rsidR="00000000" w:rsidDel="00000000" w:rsidP="00000000" w:rsidRDefault="00000000" w:rsidRPr="00000000" w14:paraId="0000001B">
            <w:pPr>
              <w:widowControl w:val="0"/>
              <w:spacing w:after="240" w:before="240" w:line="240" w:lineRule="auto"/>
              <w:rPr>
                <w:rFonts w:ascii="Lora" w:cs="Lora" w:eastAsia="Lora" w:hAnsi="Lora"/>
                <w:i w:val="1"/>
              </w:rPr>
            </w:pPr>
            <w:r w:rsidDel="00000000" w:rsidR="00000000" w:rsidRPr="00000000">
              <w:rPr>
                <w:rFonts w:ascii="Lora" w:cs="Lora" w:eastAsia="Lora" w:hAnsi="Lora"/>
                <w:i w:val="1"/>
                <w:rtl w:val="0"/>
              </w:rPr>
              <w:t xml:space="preserve">Artikel ini telah diterbitkan ulang untuk Hari Margasatwa Sedunia 2023.</w:t>
            </w:r>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Pertama kali diterbitkan pada 28 Februari 2022.</w:t>
            </w:r>
          </w:p>
          <w:p w:rsidR="00000000" w:rsidDel="00000000" w:rsidP="00000000" w:rsidRDefault="00000000" w:rsidRPr="00000000" w14:paraId="0000001C">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18">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19">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r w:rsidDel="00000000" w:rsidR="00000000" w:rsidRPr="00000000">
              <w:rPr>
                <w:rtl w:val="0"/>
              </w:rPr>
            </w:r>
          </w:p>
          <w:p w:rsidR="00000000" w:rsidDel="00000000" w:rsidP="00000000" w:rsidRDefault="00000000" w:rsidRPr="00000000" w14:paraId="0000001D">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20">
              <w:r w:rsidDel="00000000" w:rsidR="00000000" w:rsidRPr="00000000">
                <w:rPr>
                  <w:rFonts w:ascii="Lora" w:cs="Lora" w:eastAsia="Lora" w:hAnsi="Lora"/>
                  <w:i w:val="1"/>
                  <w:color w:val="1155cc"/>
                  <w:u w:val="single"/>
                  <w:rtl w:val="0"/>
                </w:rPr>
                <w:t xml:space="preserve">Bahasa Inggris </w:t>
              </w:r>
            </w:hyperlink>
            <w:r w:rsidDel="00000000" w:rsidR="00000000" w:rsidRPr="00000000">
              <w:rPr>
                <w:rFonts w:ascii="Lora" w:cs="Lora" w:eastAsia="Lora" w:hAnsi="Lora"/>
                <w:i w:val="1"/>
                <w:rtl w:val="0"/>
              </w:rPr>
              <w:t xml:space="preserve">pada tanggal 7 Maret 2022  di</w:t>
            </w:r>
            <w:hyperlink r:id="rId21">
              <w:r w:rsidDel="00000000" w:rsidR="00000000" w:rsidRPr="00000000">
                <w:rPr>
                  <w:rFonts w:ascii="Lora" w:cs="Lora" w:eastAsia="Lora" w:hAnsi="Lora"/>
                  <w:i w:val="1"/>
                  <w:rtl w:val="0"/>
                </w:rPr>
                <w:t xml:space="preserve"> </w:t>
              </w:r>
            </w:hyperlink>
            <w:hyperlink r:id="rId22">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1F">
            <w:pPr>
              <w:widowControl w:val="0"/>
              <w:spacing w:line="240" w:lineRule="auto"/>
              <w:rPr>
                <w:rFonts w:ascii="Lora" w:cs="Lora" w:eastAsia="Lora" w:hAnsi="Lora"/>
                <w:b w:val="1"/>
                <w:i w:val="1"/>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conservation-actions-work-to-save-species/" TargetMode="External"/><Relationship Id="rId11" Type="http://schemas.openxmlformats.org/officeDocument/2006/relationships/hyperlink" Target="https://www.cbd.int/gbo/gbo5/publication/gbo-5-spm-en.pdf" TargetMode="External"/><Relationship Id="rId22"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0" Type="http://schemas.openxmlformats.org/officeDocument/2006/relationships/hyperlink" Target="https://www.cbd.int/gbo/gbo5/publication/gbo-5-spm-en.pdf" TargetMode="External"/><Relationship Id="rId21"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3" Type="http://schemas.openxmlformats.org/officeDocument/2006/relationships/hyperlink" Target="https://conbio.onlinelibrary.wiley.com/doi/full/10.1111/conl.12762" TargetMode="External"/><Relationship Id="rId12" Type="http://schemas.openxmlformats.org/officeDocument/2006/relationships/hyperlink" Target="https://conbio.onlinelibrary.wiley.com/doi/full/10.1111/conl.127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org/doi/10.1126/science.aax3100" TargetMode="External"/><Relationship Id="rId15" Type="http://schemas.openxmlformats.org/officeDocument/2006/relationships/hyperlink" Target="https://www.iucnredlist.org/" TargetMode="External"/><Relationship Id="rId14" Type="http://schemas.openxmlformats.org/officeDocument/2006/relationships/hyperlink" Target="https://www.iucnredlist.org/" TargetMode="External"/><Relationship Id="rId17" Type="http://schemas.openxmlformats.org/officeDocument/2006/relationships/hyperlink" Target="https://royalsocietypublishing.org/doi/10.1098/rsos.190598" TargetMode="External"/><Relationship Id="rId16" Type="http://schemas.openxmlformats.org/officeDocument/2006/relationships/hyperlink" Target="https://royalsocietypublishing.org/doi/10.1098/rsos.190598" TargetMode="External"/><Relationship Id="rId5" Type="http://schemas.openxmlformats.org/officeDocument/2006/relationships/styles" Target="styles.xml"/><Relationship Id="rId19" Type="http://schemas.openxmlformats.org/officeDocument/2006/relationships/hyperlink" Target="https://360info.org/" TargetMode="External"/><Relationship Id="rId6" Type="http://schemas.openxmlformats.org/officeDocument/2006/relationships/hyperlink" Target="https://360info.org/#linkedin" TargetMode="External"/><Relationship Id="rId18" Type="http://schemas.openxmlformats.org/officeDocument/2006/relationships/hyperlink" Target="https://creativecommons.org/licenses/by/4.0/" TargetMode="External"/><Relationship Id="rId7" Type="http://schemas.openxmlformats.org/officeDocument/2006/relationships/image" Target="media/image1.jpg"/><Relationship Id="rId8" Type="http://schemas.openxmlformats.org/officeDocument/2006/relationships/hyperlink" Target="https://www.science.org/doi/10.1126/science.aax31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